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D3283F">
        <w:rPr>
          <w:rFonts w:ascii="Sylfaen" w:hAnsi="Sylfaen" w:cs="Sylfaen"/>
          <w:sz w:val="20"/>
          <w:lang w:val="en-US"/>
        </w:rPr>
        <w:t>Դեղորայքի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7C53E5">
        <w:rPr>
          <w:rFonts w:ascii="Sylfaen" w:hAnsi="Sylfaen" w:cs="Sylfaen"/>
          <w:sz w:val="20"/>
          <w:u w:val="single"/>
          <w:lang w:val="hy-AM"/>
        </w:rPr>
        <w:t>3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-1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7A6100">
        <w:rPr>
          <w:rFonts w:ascii="Sylfaen" w:hAnsi="Sylfaen" w:cs="Sylfaen"/>
          <w:sz w:val="20"/>
          <w:lang w:val="hy-AM"/>
        </w:rPr>
        <w:t xml:space="preserve">հունվարի </w:t>
      </w:r>
      <w:r w:rsidR="007C53E5">
        <w:rPr>
          <w:rFonts w:ascii="Sylfaen" w:hAnsi="Sylfaen" w:cs="Sylfaen"/>
          <w:sz w:val="20"/>
          <w:lang w:val="hy-AM"/>
        </w:rPr>
        <w:t>29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 w:rsidR="007C53E5">
        <w:rPr>
          <w:rFonts w:ascii="Sylfaen" w:hAnsi="Sylfaen" w:cs="Sylfaen"/>
          <w:sz w:val="20"/>
          <w:u w:val="single"/>
          <w:lang w:val="hy-AM"/>
        </w:rPr>
        <w:t>3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-1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7A6100">
        <w:rPr>
          <w:rFonts w:ascii="Sylfaen" w:hAnsi="Sylfaen" w:cs="Sylfaen"/>
          <w:sz w:val="20"/>
          <w:lang w:val="hy-AM"/>
        </w:rPr>
        <w:t>հոկտեմբերի  2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FB712E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A01F4" w:rsidRDefault="00925B6E" w:rsidP="00FB712E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54" w:rsidRDefault="00164B54" w:rsidP="00C77E7F">
      <w:pPr>
        <w:spacing w:after="0" w:line="240" w:lineRule="auto"/>
      </w:pPr>
      <w:r>
        <w:separator/>
      </w:r>
    </w:p>
  </w:endnote>
  <w:endnote w:type="continuationSeparator" w:id="1">
    <w:p w:rsidR="00164B54" w:rsidRDefault="00164B54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54" w:rsidRDefault="00164B54" w:rsidP="00C77E7F">
      <w:pPr>
        <w:spacing w:after="0" w:line="240" w:lineRule="auto"/>
      </w:pPr>
      <w:r>
        <w:separator/>
      </w:r>
    </w:p>
  </w:footnote>
  <w:footnote w:type="continuationSeparator" w:id="1">
    <w:p w:rsidR="00164B54" w:rsidRDefault="00164B54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FFA"/>
    <w:rsid w:val="00027A58"/>
    <w:rsid w:val="00080E83"/>
    <w:rsid w:val="000849ED"/>
    <w:rsid w:val="00087BC9"/>
    <w:rsid w:val="000B2301"/>
    <w:rsid w:val="001038C5"/>
    <w:rsid w:val="0012712D"/>
    <w:rsid w:val="00132218"/>
    <w:rsid w:val="001415B7"/>
    <w:rsid w:val="00164B54"/>
    <w:rsid w:val="00183340"/>
    <w:rsid w:val="001924B1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310DDF"/>
    <w:rsid w:val="00315646"/>
    <w:rsid w:val="003429C1"/>
    <w:rsid w:val="00363F84"/>
    <w:rsid w:val="003734D8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62F6"/>
    <w:rsid w:val="00527CC5"/>
    <w:rsid w:val="005A0896"/>
    <w:rsid w:val="005C4ED5"/>
    <w:rsid w:val="005D20DA"/>
    <w:rsid w:val="005D3E41"/>
    <w:rsid w:val="005F430E"/>
    <w:rsid w:val="006067E1"/>
    <w:rsid w:val="006238D7"/>
    <w:rsid w:val="006514A0"/>
    <w:rsid w:val="00654676"/>
    <w:rsid w:val="00657960"/>
    <w:rsid w:val="006613C8"/>
    <w:rsid w:val="00676274"/>
    <w:rsid w:val="006A71FC"/>
    <w:rsid w:val="006E1162"/>
    <w:rsid w:val="006E530E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C0493"/>
    <w:rsid w:val="007C50F7"/>
    <w:rsid w:val="007C53E5"/>
    <w:rsid w:val="007D4F3B"/>
    <w:rsid w:val="00832C41"/>
    <w:rsid w:val="00872D83"/>
    <w:rsid w:val="008B0157"/>
    <w:rsid w:val="008B2846"/>
    <w:rsid w:val="008B3498"/>
    <w:rsid w:val="008C6C3C"/>
    <w:rsid w:val="008D40A0"/>
    <w:rsid w:val="008E1BDF"/>
    <w:rsid w:val="00920C68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E5457"/>
    <w:rsid w:val="00BF63A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56415"/>
    <w:rsid w:val="00FB1DEA"/>
    <w:rsid w:val="00FB65D5"/>
    <w:rsid w:val="00FB712E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134</cp:revision>
  <cp:lastPrinted>2018-03-29T07:41:00Z</cp:lastPrinted>
  <dcterms:created xsi:type="dcterms:W3CDTF">2014-11-10T11:48:00Z</dcterms:created>
  <dcterms:modified xsi:type="dcterms:W3CDTF">2020-10-05T11:53:00Z</dcterms:modified>
</cp:coreProperties>
</file>